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23" w:rsidRPr="00583823" w:rsidRDefault="00583823" w:rsidP="00583823">
      <w:pPr>
        <w:jc w:val="center"/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</w:pPr>
      <w:r w:rsidRPr="00583823"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  <w:t xml:space="preserve">Hodnocení nových typů reaktivátorů </w:t>
      </w:r>
      <w:proofErr w:type="spellStart"/>
      <w:r w:rsidRPr="00583823"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  <w:t>acetylcholinesterasy</w:t>
      </w:r>
      <w:proofErr w:type="spellEnd"/>
      <w:r w:rsidRPr="00583823"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  <w:t xml:space="preserve"> in </w:t>
      </w:r>
      <w:proofErr w:type="spellStart"/>
      <w:r w:rsidRPr="00583823"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  <w:t>vivo</w:t>
      </w:r>
      <w:proofErr w:type="spellEnd"/>
    </w:p>
    <w:p w:rsidR="00583823" w:rsidRDefault="00583823" w:rsidP="00583823">
      <w:pPr>
        <w:ind w:firstLine="708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EB23EF" w:rsidRPr="00583823" w:rsidRDefault="00583823" w:rsidP="00583823">
      <w:pPr>
        <w:ind w:firstLine="708"/>
        <w:jc w:val="both"/>
        <w:rPr>
          <w:sz w:val="24"/>
          <w:szCs w:val="24"/>
        </w:rPr>
      </w:pPr>
      <w:r w:rsidRPr="0058382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Předložená bakalářská práce se zabývá hodnocením účinnosti nových typů reaktivátorů </w:t>
      </w:r>
      <w:proofErr w:type="spellStart"/>
      <w:r w:rsidRPr="0058382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acetylcholinesterasy</w:t>
      </w:r>
      <w:proofErr w:type="spellEnd"/>
      <w:r w:rsidRPr="0058382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58382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vivo</w:t>
      </w:r>
      <w:proofErr w:type="spellEnd"/>
      <w:r w:rsidRPr="0058382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. Teoretická část je věnována obecnému přehledu nervového systému, v němž </w:t>
      </w:r>
      <w:proofErr w:type="spellStart"/>
      <w:r w:rsidRPr="0058382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AChE</w:t>
      </w:r>
      <w:proofErr w:type="spellEnd"/>
      <w:r w:rsidRPr="0058382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sehrává klíčovou roli. Současně je zde popsán stav, vyvolaný inhibicí </w:t>
      </w:r>
      <w:proofErr w:type="spellStart"/>
      <w:r w:rsidRPr="0058382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AChE</w:t>
      </w:r>
      <w:proofErr w:type="spellEnd"/>
      <w:r w:rsidRPr="0058382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a jsou popsány i možnosti současné terapie. V experimentální části jsou testovány 2 dva nově připravené reaktivátory </w:t>
      </w:r>
      <w:proofErr w:type="spellStart"/>
      <w:r w:rsidRPr="0058382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AChE</w:t>
      </w:r>
      <w:proofErr w:type="spellEnd"/>
      <w:r w:rsidRPr="0058382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; K1654 a K1653. Jejich farmakodynamická účinnost je testována vůči sarinu a látce VX ve dvou oddělených pokusech. Výsledky jsou srovnávány s účinností v antidotní terapii zavedených látek, </w:t>
      </w:r>
      <w:proofErr w:type="spellStart"/>
      <w:r w:rsidRPr="0058382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asoximem</w:t>
      </w:r>
      <w:proofErr w:type="spellEnd"/>
      <w:r w:rsidRPr="0058382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(oximem HI-6) a </w:t>
      </w:r>
      <w:proofErr w:type="spellStart"/>
      <w:r w:rsidRPr="0058382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obidoximem</w:t>
      </w:r>
      <w:proofErr w:type="spellEnd"/>
      <w:r w:rsidRPr="0058382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 Ze získaných hodnot lze konstatovat pozitivní terapeutický účinek nových látek v porovnání s neléčenou skupinou. Obecně je jejich reaktivační schopnost pozorována vyšší po intoxikaci látkou VX.</w:t>
      </w:r>
      <w:bookmarkStart w:id="0" w:name="_GoBack"/>
      <w:bookmarkEnd w:id="0"/>
    </w:p>
    <w:sectPr w:rsidR="00EB23EF" w:rsidRPr="00583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EB"/>
    <w:rsid w:val="00583823"/>
    <w:rsid w:val="00CC7EEB"/>
    <w:rsid w:val="00EB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DC07"/>
  <w15:chartTrackingRefBased/>
  <w15:docId w15:val="{5E8341A8-0683-4DB1-8A7D-CAAB9FAE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</dc:creator>
  <cp:keywords/>
  <dc:description/>
  <cp:lastModifiedBy>koch</cp:lastModifiedBy>
  <cp:revision>2</cp:revision>
  <dcterms:created xsi:type="dcterms:W3CDTF">2023-08-03T13:12:00Z</dcterms:created>
  <dcterms:modified xsi:type="dcterms:W3CDTF">2023-08-03T13:12:00Z</dcterms:modified>
</cp:coreProperties>
</file>