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5271" w14:textId="77777777" w:rsidR="00582C6D" w:rsidRPr="004272AA" w:rsidRDefault="004E7E03" w:rsidP="00467F93">
      <w:pPr>
        <w:spacing w:after="0" w:line="312" w:lineRule="auto"/>
        <w:contextualSpacing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4272AA">
        <w:rPr>
          <w:rFonts w:ascii="Arial" w:hAnsi="Arial" w:cs="Arial"/>
          <w:b/>
          <w:color w:val="7030A0"/>
          <w:sz w:val="28"/>
          <w:szCs w:val="28"/>
          <w:u w:val="single"/>
        </w:rPr>
        <w:t>Okruhy ke SZZ pro n</w:t>
      </w:r>
      <w:r w:rsidR="00582C6D" w:rsidRPr="004272AA">
        <w:rPr>
          <w:rFonts w:ascii="Arial" w:hAnsi="Arial" w:cs="Arial"/>
          <w:b/>
          <w:color w:val="7030A0"/>
          <w:sz w:val="28"/>
          <w:szCs w:val="28"/>
          <w:u w:val="single"/>
        </w:rPr>
        <w:t>avazující magisterský obor Orga</w:t>
      </w:r>
      <w:r w:rsidR="00C13D07" w:rsidRPr="004272AA">
        <w:rPr>
          <w:rFonts w:ascii="Arial" w:hAnsi="Arial" w:cs="Arial"/>
          <w:b/>
          <w:color w:val="7030A0"/>
          <w:sz w:val="28"/>
          <w:szCs w:val="28"/>
          <w:u w:val="single"/>
        </w:rPr>
        <w:t>nická chemie</w:t>
      </w:r>
    </w:p>
    <w:p w14:paraId="48ECB7FB" w14:textId="77777777" w:rsidR="00C13D07" w:rsidRPr="004272AA" w:rsidRDefault="00C13D07" w:rsidP="00467F93">
      <w:pPr>
        <w:spacing w:after="0" w:line="312" w:lineRule="auto"/>
        <w:contextualSpacing/>
        <w:rPr>
          <w:rFonts w:ascii="Arial" w:hAnsi="Arial" w:cs="Arial"/>
          <w:color w:val="FF0000"/>
        </w:rPr>
      </w:pPr>
    </w:p>
    <w:p w14:paraId="594F0BEE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Povinné předměty:</w:t>
      </w:r>
    </w:p>
    <w:p w14:paraId="4889A072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OCH/SZZC1 – Laboratorní a průmyslová syntéza organických sloučenin</w:t>
      </w:r>
    </w:p>
    <w:p w14:paraId="62DD2056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OCH/SZZC2 – Stereochemie a mechanismy organických reakcí</w:t>
      </w:r>
    </w:p>
    <w:p w14:paraId="582E64CC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OCH/SZZC3 – Analýza organických sloučenin</w:t>
      </w:r>
    </w:p>
    <w:p w14:paraId="06DDD2FC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OCH/OBHDP – Obhajoba diplomové práce</w:t>
      </w:r>
    </w:p>
    <w:p w14:paraId="06F3BE1B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  <w:i/>
        </w:rPr>
      </w:pPr>
    </w:p>
    <w:p w14:paraId="4FD0B9E5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Volba 1 předmětu z povinně volitelných:</w:t>
      </w:r>
    </w:p>
    <w:p w14:paraId="157866DA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OCH/SZZC4 – Příprava a vlastnosti heterocyklických sloučenin</w:t>
      </w:r>
    </w:p>
    <w:p w14:paraId="470E78CF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OCH/SZZC5 – Bioorganická chemie</w:t>
      </w:r>
    </w:p>
    <w:p w14:paraId="113D7F35" w14:textId="77777777" w:rsidR="00D1244A" w:rsidRPr="00D1244A" w:rsidRDefault="00D1244A" w:rsidP="00467F93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1244A">
        <w:rPr>
          <w:rFonts w:ascii="Arial" w:hAnsi="Arial" w:cs="Arial"/>
        </w:rPr>
        <w:t>OCH/SZZC6 – Aplikovaná analytická chemie</w:t>
      </w:r>
    </w:p>
    <w:p w14:paraId="430C5A27" w14:textId="77777777" w:rsidR="004E7E03" w:rsidRPr="004272AA" w:rsidRDefault="004E7E03" w:rsidP="00467F93">
      <w:pPr>
        <w:pBdr>
          <w:bottom w:val="single" w:sz="6" w:space="1" w:color="auto"/>
        </w:pBdr>
        <w:spacing w:after="0" w:line="312" w:lineRule="auto"/>
        <w:contextualSpacing/>
        <w:rPr>
          <w:rFonts w:ascii="Arial" w:hAnsi="Arial" w:cs="Arial"/>
          <w:color w:val="00B050"/>
        </w:rPr>
      </w:pPr>
    </w:p>
    <w:p w14:paraId="4BEB7072" w14:textId="77777777" w:rsidR="00AA641E" w:rsidRDefault="00AA641E" w:rsidP="00467F93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</w:p>
    <w:p w14:paraId="22459CEF" w14:textId="77777777" w:rsidR="007C4C3A" w:rsidRDefault="007C4C3A" w:rsidP="00467F93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br w:type="page"/>
      </w:r>
    </w:p>
    <w:p w14:paraId="730B3802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color w:val="7030A0"/>
        </w:rPr>
      </w:pPr>
      <w:r w:rsidRPr="00D1244A">
        <w:rPr>
          <w:rFonts w:ascii="Arial" w:hAnsi="Arial" w:cs="Arial"/>
          <w:b/>
          <w:color w:val="7030A0"/>
        </w:rPr>
        <w:lastRenderedPageBreak/>
        <w:t>OCH/SZZC1 – Laboratorní a průmyslová syntéza organických sloučenin</w:t>
      </w:r>
    </w:p>
    <w:p w14:paraId="107094E6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prof. Ing. Pavel Hradil, CSc. Zkouška bude vyžadovat především znalosti získané v předmětu OCH/MOS1, OCH/POCH, OCH/STR a OCH/SAR. Jednotlivé okruhy pro tento předmět:</w:t>
      </w:r>
    </w:p>
    <w:p w14:paraId="4A0CEBE2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6CC21D02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Uhlovodíky – příprava, reaktivita. Průmyslové zdroje uhlovodíků a jejich základní zpracování.</w:t>
      </w:r>
    </w:p>
    <w:p w14:paraId="6DDFC2BF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Tvorba vazby uhlík-uhlík  (reakce aldolizačního typu, couplingové reakce, další možnosti jak vytvořit vazbu uhlík uhlík. Sekundární zpracování ropných produktů (krakování, pyrolýza a reformování benzínů.</w:t>
      </w:r>
    </w:p>
    <w:p w14:paraId="3C3EFE51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Tvroba halogenderivátů - F, Cl, Br, I (alifatické halogenderiváty trifuoroderiváty a jejich příprava, příprava vinylderivátů,  aromatické halogenderiváty), vlastnosti a reakce. Výroba CCl</w:t>
      </w:r>
      <w:r w:rsidRPr="00D1244A">
        <w:rPr>
          <w:rFonts w:ascii="Arial" w:hAnsi="Arial" w:cs="Arial"/>
          <w:vertAlign w:val="subscript"/>
        </w:rPr>
        <w:t>4</w:t>
      </w:r>
      <w:r w:rsidRPr="00D1244A">
        <w:rPr>
          <w:rFonts w:ascii="Arial" w:hAnsi="Arial" w:cs="Arial"/>
        </w:rPr>
        <w:t xml:space="preserve"> – tetra-per postup, výroba vinylchloridu (stará i nová), průmyslová výroba alifatických fluoroderivátů a fuoroaromátů.</w:t>
      </w:r>
    </w:p>
    <w:p w14:paraId="57AF36AD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Organokovové sloučeniny nepřechodných kovů Mg, Na, Li – přípravy, reakce a jejich využití v organické syntéze. Průmyslová příprava organohořečnatých sloučenin – rozpouštědla, podmínky, příklady použití.</w:t>
      </w:r>
    </w:p>
    <w:p w14:paraId="77D16F19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Dusíkaté sloučeniny příprava a reakce alifatických a aromatický amino derivátů, nitro látek, nitroso látek, hydroxylaminů, derivátů hydrazinu, di</w:t>
      </w:r>
      <w:r w:rsidRPr="00D1244A">
        <w:rPr>
          <w:rFonts w:ascii="Arial" w:hAnsi="Arial" w:cs="Arial"/>
        </w:rPr>
        <w:lastRenderedPageBreak/>
        <w:t>azosloučeniny, azosloučeniny, diazoniové soli, azidy. Výroba nitrobenzenu, TNT. Výroba 1 a 2- aminonaftolu, výroba benzidinu. Biologické vlastnosti.</w:t>
      </w:r>
    </w:p>
    <w:p w14:paraId="38A013A2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Příprava a reakce alkoholů, etherů, epoxidů. Průmyslová výroba diethyletheru, oxiranu a epichlorhydrinu.</w:t>
      </w:r>
    </w:p>
    <w:p w14:paraId="701E09F0" w14:textId="067E5951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 xml:space="preserve">Příprava a reakce karbonylových sloučenin – aldehydů a ketonů (oximy, hydrazony, acetaly, thioacetaly, ozonidy. Výroby acetonu – základní postupy a reakční podmínky. Průmyslové výroby cyclohexanonu a kaprolaktamu. </w:t>
      </w:r>
    </w:p>
    <w:p w14:paraId="4B701F18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Karboxylové kyseliny a jejich deriváty funkční i substituční – příprava, reakce. Výroby kyseliny octové, acetanhydridu, ketenu.</w:t>
      </w:r>
    </w:p>
    <w:p w14:paraId="2765AC91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Deriváty kyseliny uhličité – přípravy a reakce – karbamáty, močoviny, karbamoylchloridy, izokyanáty, isothiokyanáty, isokyanidy, karbodiimidy a další. Výroba isokyanátů a jejich použití pro výrobu polymerů.</w:t>
      </w:r>
    </w:p>
    <w:p w14:paraId="029A1025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 xml:space="preserve">Organoborité sloučeniny – příprava, vlastnosti a využití v organické syntéze. Povrchově aktivní látky, rozdělení a způsoby výroby. </w:t>
      </w:r>
    </w:p>
    <w:p w14:paraId="6B6A0A45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Organokovové sloučeniny Zn, Zr, Ti, Cu, a Sn – přípravy, reakce a jejich využití v organické syntéze. Akryláty, jejich  výroba a použití.</w:t>
      </w:r>
    </w:p>
    <w:p w14:paraId="5E18E710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Organofosforečné sloučeniny a reagenty obsahující atom fosforu – příprava, vlastnosti a využití v organické syntéze. Aminoplasty – základní typy látek, výroba, použití.</w:t>
      </w:r>
    </w:p>
    <w:p w14:paraId="7C65343D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 xml:space="preserve">Základní typy vazeb v organické chemii, jejich síla a reaktivita z pohledu teorie hraničních orbitalů, hyperkonjugace, pKa organických látek, </w:t>
      </w:r>
      <w:r w:rsidRPr="00D1244A">
        <w:rPr>
          <w:rFonts w:ascii="Arial" w:hAnsi="Arial" w:cs="Arial"/>
        </w:rPr>
        <w:lastRenderedPageBreak/>
        <w:t xml:space="preserve">vliv substituce na HOMO/LUMO a na reaktivitu nuklefilů/elektrofilů. Výroby fenolu,  </w:t>
      </w:r>
      <w:r w:rsidRPr="00D1244A">
        <w:rPr>
          <w:rFonts w:ascii="Arial" w:hAnsi="Arial" w:cs="Arial"/>
        </w:rPr>
        <w:t xml:space="preserve"> a </w:t>
      </w:r>
      <w:r w:rsidRPr="00D1244A">
        <w:rPr>
          <w:rFonts w:ascii="Arial" w:hAnsi="Arial" w:cs="Arial"/>
        </w:rPr>
        <w:t> naftolu.</w:t>
      </w:r>
    </w:p>
    <w:p w14:paraId="519209C9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Základní principy a faktory ovlivňující design syntézy. Rozdělení výbušin, základní představitelé a způsob jejich výroby.</w:t>
      </w:r>
    </w:p>
    <w:p w14:paraId="6A8E4726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Retrosyntetická analýza. Zpracování dehtu – hlavní produkty.</w:t>
      </w:r>
    </w:p>
    <w:p w14:paraId="6F4C628E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Zdroje a metody přípravy enantiomerně čistých sloučenin. Průmyslová výroba sacharózy.</w:t>
      </w:r>
    </w:p>
    <w:p w14:paraId="606DD50C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Protektivní a deprotektivní operace v organické syntéze. Průmyslově využívané redukční metody   - příklady.</w:t>
      </w:r>
    </w:p>
    <w:p w14:paraId="70932A1D" w14:textId="77777777" w:rsidR="00D1244A" w:rsidRPr="00D1244A" w:rsidRDefault="00D1244A" w:rsidP="00467F93">
      <w:pPr>
        <w:pStyle w:val="Odstavecseseznamem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Rozdělení syntéz dle účelu a jejich příklady (kombinatoriální, target-oriented, diversity-oriented). Základní barviva, příklady a výroba,  indigo a jeho průmyslová výroba</w:t>
      </w:r>
    </w:p>
    <w:p w14:paraId="58C384EF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5FCF9BF7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</w:rPr>
      </w:pPr>
    </w:p>
    <w:p w14:paraId="11F7AD44" w14:textId="77777777" w:rsid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9F3616" w14:textId="40F85593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color w:val="7030A0"/>
        </w:rPr>
      </w:pPr>
      <w:r w:rsidRPr="00D1244A">
        <w:rPr>
          <w:rFonts w:ascii="Arial" w:hAnsi="Arial" w:cs="Arial"/>
          <w:b/>
          <w:bCs/>
          <w:color w:val="7030A0"/>
        </w:rPr>
        <w:lastRenderedPageBreak/>
        <w:t>OCH/SZZC2 – Stereochemie a mechanismy organických reakcí</w:t>
      </w:r>
    </w:p>
    <w:p w14:paraId="08EABE4A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prof. RNDr. Jan Hlaváč, Ph.D. Zkouška bude vyžadovat především znalosti získané v předmětu OCH/SCH a OCH/MOR. Jednotlivé okruhy pro tento předmět:</w:t>
      </w:r>
    </w:p>
    <w:p w14:paraId="3092DD9F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0D4CF435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Substituce nukleofilní v alifatické řadě</w:t>
      </w:r>
    </w:p>
    <w:p w14:paraId="5C4147C1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Substituce nukleofilní v aromatické řadě</w:t>
      </w:r>
    </w:p>
    <w:p w14:paraId="4F6AA149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Substituce elektrofilní</w:t>
      </w:r>
    </w:p>
    <w:p w14:paraId="48BA561F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Adice elektrofilní</w:t>
      </w:r>
    </w:p>
    <w:p w14:paraId="2F86AC9E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Adice nukleofilní</w:t>
      </w:r>
    </w:p>
    <w:p w14:paraId="5C98FC91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β-eliminace</w:t>
      </w:r>
    </w:p>
    <w:p w14:paraId="741E3857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α-eliminace</w:t>
      </w:r>
    </w:p>
    <w:p w14:paraId="46645080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Přesmyky nukleofilní</w:t>
      </w:r>
    </w:p>
    <w:p w14:paraId="117111C0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Přesmyky elektrofilní</w:t>
      </w:r>
    </w:p>
    <w:p w14:paraId="39C29EA9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Radikálové reakce</w:t>
      </w:r>
    </w:p>
    <w:p w14:paraId="7A4D7DCD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Prvky symetrie, chiralita, optická aktivita, isomerie</w:t>
      </w:r>
    </w:p>
    <w:p w14:paraId="09E01B76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Centrální, axiální a planární chiralita</w:t>
      </w:r>
    </w:p>
    <w:p w14:paraId="758A2640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Metody pro dělení optických isomerů, optická čistota</w:t>
      </w:r>
    </w:p>
    <w:p w14:paraId="4FEA61C8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Metody pro určování konfigurace</w:t>
      </w:r>
    </w:p>
    <w:p w14:paraId="6DB60B4C" w14:textId="77777777" w:rsidR="00D1244A" w:rsidRPr="00D1244A" w:rsidRDefault="00D1244A" w:rsidP="00467F93">
      <w:pPr>
        <w:numPr>
          <w:ilvl w:val="0"/>
          <w:numId w:val="14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Konformace a konformační analýza</w:t>
      </w:r>
    </w:p>
    <w:p w14:paraId="7BDC540C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4E9150DC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6102042B" w14:textId="77777777" w:rsid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7D7F58B" w14:textId="65BEBA68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color w:val="7030A0"/>
        </w:rPr>
      </w:pPr>
      <w:r w:rsidRPr="00D1244A">
        <w:rPr>
          <w:rFonts w:ascii="Arial" w:hAnsi="Arial" w:cs="Arial"/>
          <w:b/>
          <w:bCs/>
          <w:color w:val="7030A0"/>
        </w:rPr>
        <w:lastRenderedPageBreak/>
        <w:t>OCH/SZZC3 – Analýza organických sloučenin</w:t>
      </w:r>
    </w:p>
    <w:p w14:paraId="72F3A55E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prof. RNDr. Jan Hlaváč, Ph.D. Zkouška bude vyžadovat především znalosti získané v předmětu OCH/OPM, OCH/NMR a OCH/SMOC. Jednotlivé okruhy pro tento předmět:</w:t>
      </w:r>
    </w:p>
    <w:p w14:paraId="081BF91E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i/>
        </w:rPr>
      </w:pPr>
    </w:p>
    <w:p w14:paraId="3430B204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NMR spektroskopie a její význam ve strukturní analýze.</w:t>
      </w:r>
    </w:p>
    <w:p w14:paraId="4B2A0D2F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Chemický posun v 1H a 13C NMR spektroskopii.</w:t>
      </w:r>
    </w:p>
    <w:p w14:paraId="274893BA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Spin-spinová interakce a její význam ve strukturní analýze. Interakční konstanta.</w:t>
      </w:r>
    </w:p>
    <w:p w14:paraId="2657FD45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Intenzita NMR linií v 1H a 13C NMR a její význam ve strukturní a kvantitativní analýze.</w:t>
      </w:r>
    </w:p>
    <w:p w14:paraId="189C0A79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2D NMR spektroskopie a její použití pro strukturní analýzu.</w:t>
      </w:r>
    </w:p>
    <w:p w14:paraId="354A8598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UV-VIS spektrofotometrie a její využití ke kvalitativní a kvantitativní analýze.</w:t>
      </w:r>
    </w:p>
    <w:p w14:paraId="06F3F68F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Infračervená spektrometrie. Princip metody a techniky přípravy vzorků a měření.</w:t>
      </w:r>
    </w:p>
    <w:p w14:paraId="5846735C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Interpretace IČ spekter.</w:t>
      </w:r>
    </w:p>
    <w:p w14:paraId="21C47F18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Ramanovy spektrometrie a její využití ve strukturní analýze.</w:t>
      </w:r>
    </w:p>
    <w:p w14:paraId="0A4C7A10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extrakce. Popis jednotlivých provedení extrakce – LLE, headspace, SPE a SFE.</w:t>
      </w:r>
    </w:p>
    <w:p w14:paraId="32F37016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kapalinové chromatografie. Kvalitativní a kvantitativní vyhodnocení chromatogramu.</w:t>
      </w:r>
    </w:p>
    <w:p w14:paraId="401FBF47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lastRenderedPageBreak/>
        <w:t>Instrumentace kapalinové chromatografie. Složení stacionární a mobilní fáze.</w:t>
      </w:r>
    </w:p>
    <w:p w14:paraId="1CF9E4FB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Vliv stacionární fáze, mobilní fáze a pH na chromatografickou separaci.</w:t>
      </w:r>
    </w:p>
    <w:p w14:paraId="39D23106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a instrumentace plynové chromatografie. Spojení s hmotnostní spektrometrií.</w:t>
      </w:r>
    </w:p>
    <w:p w14:paraId="4FAF83BA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Princip hmotnostní spektrometrie. Popis instrumentace používané ve spojení s kapalinovou chromatografií.</w:t>
      </w:r>
    </w:p>
    <w:p w14:paraId="1B5D5A87" w14:textId="77777777" w:rsidR="00D1244A" w:rsidRPr="00D1244A" w:rsidRDefault="00D1244A" w:rsidP="00467F93">
      <w:pPr>
        <w:numPr>
          <w:ilvl w:val="0"/>
          <w:numId w:val="15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Základní interpretace hmotnostních spekter.</w:t>
      </w:r>
    </w:p>
    <w:p w14:paraId="6766AC5B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68EF0B8D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719545FE" w14:textId="77777777" w:rsid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9B2106" w14:textId="2566BE0A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color w:val="7030A0"/>
        </w:rPr>
      </w:pPr>
      <w:r w:rsidRPr="00D1244A">
        <w:rPr>
          <w:rFonts w:ascii="Arial" w:hAnsi="Arial" w:cs="Arial"/>
          <w:b/>
          <w:bCs/>
          <w:color w:val="7030A0"/>
        </w:rPr>
        <w:lastRenderedPageBreak/>
        <w:t>OCH/SZZC4 –</w:t>
      </w:r>
      <w:r w:rsidRPr="00D1244A">
        <w:rPr>
          <w:rFonts w:ascii="Arial" w:hAnsi="Arial" w:cs="Arial"/>
          <w:b/>
          <w:color w:val="7030A0"/>
        </w:rPr>
        <w:t xml:space="preserve"> Příprava a vlastnosti heterocyklických sloučenin</w:t>
      </w:r>
    </w:p>
    <w:p w14:paraId="1B4EC63D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prof. Ing. Pavel Hradil, Ph.D. Zkouška bude vyžadovat především znalosti získané v předmětu OCH/CHHS, OCH/CBL1, OCH/CBL2 a OCH/COS. Jednotlivé okruhy pro tento předmět:</w:t>
      </w:r>
    </w:p>
    <w:p w14:paraId="3817CA95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03C3875B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pětičlenných dusíkatých heterocyklů: pyrrol, pyrazol, imidazol, triazol, tetrazol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7F2C5DA2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pětičlenných heterocyklů obsahující ve své struktuře i jiný atom než dusík: furan, thiofen, thiazol, isothiazol, oxazol, isoxazol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64111D2A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kondenzovaných pětičlenných heterocyklů: indol, indazol, benzimidazol, benztriazol, benzoxazol, benzthiazol, benzo[b]furan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7F98C446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lastRenderedPageBreak/>
        <w:t>Příprava a vlastnosti šestičlenných heterocyklů: pyridin, pyrimidin, pyrazin, triaziny, pyran, thiopyran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22AEA07A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kondenzovaných šestičlenných heterocyklů: chinolin, isochinolin, chinazolin, chinoxalin, ftalazin, fenothiazin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204F234B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vybraných sedmičlenných heterocyklů: diazepiny, oxazepiny, benzodiazepiny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1709A5DA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t>Příprava a vlastnosti vybraných kombinovaných heterocyklů: purin, pteridin, imidazopyridiny a jejich deriváty. Přírodní látky a syntetické, biologicky aktivní sloučeniny obsahující daný heterocyklický motiv. Využití organometalických reagentů a tranzitními kovy katalyzovaných reakcí při přípravě těchto látek.</w:t>
      </w:r>
    </w:p>
    <w:p w14:paraId="682C591C" w14:textId="77777777" w:rsidR="00D1244A" w:rsidRPr="00D1244A" w:rsidRDefault="00D1244A" w:rsidP="00467F93">
      <w:pPr>
        <w:numPr>
          <w:ilvl w:val="0"/>
          <w:numId w:val="17"/>
        </w:numPr>
        <w:spacing w:after="0" w:line="312" w:lineRule="auto"/>
        <w:contextualSpacing/>
        <w:rPr>
          <w:rFonts w:ascii="Arial" w:hAnsi="Arial" w:cs="Arial"/>
        </w:rPr>
      </w:pPr>
      <w:r w:rsidRPr="00D1244A">
        <w:rPr>
          <w:rFonts w:ascii="Arial" w:hAnsi="Arial" w:cs="Arial"/>
        </w:rPr>
        <w:lastRenderedPageBreak/>
        <w:t>Příprava a vlastnosti šestičlenných nasycených heterocyklů (piperidin, piperazin, morfolin) a jejich výskyt v biologicky aktivních a přírodních látkách. Využití organometalických reagentů a tranzitními kovy katalyzovaných reakcí při přípravě těchto látek.</w:t>
      </w:r>
    </w:p>
    <w:p w14:paraId="08637ADD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6B6D3524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6E5B3533" w14:textId="77777777" w:rsid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79CA382" w14:textId="06AB229A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color w:val="7030A0"/>
        </w:rPr>
      </w:pPr>
      <w:r w:rsidRPr="00D1244A">
        <w:rPr>
          <w:rFonts w:ascii="Arial" w:hAnsi="Arial" w:cs="Arial"/>
          <w:b/>
          <w:bCs/>
          <w:color w:val="7030A0"/>
        </w:rPr>
        <w:lastRenderedPageBreak/>
        <w:t>OCH/SZZC5 –</w:t>
      </w:r>
      <w:r w:rsidRPr="00D1244A">
        <w:rPr>
          <w:rFonts w:ascii="Arial" w:hAnsi="Arial" w:cs="Arial"/>
          <w:color w:val="7030A0"/>
        </w:rPr>
        <w:t xml:space="preserve"> </w:t>
      </w:r>
      <w:r w:rsidRPr="00D1244A">
        <w:rPr>
          <w:rFonts w:ascii="Arial" w:hAnsi="Arial" w:cs="Arial"/>
          <w:b/>
          <w:color w:val="7030A0"/>
        </w:rPr>
        <w:t>Bioorganická chemie</w:t>
      </w:r>
    </w:p>
    <w:p w14:paraId="2F398EC4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doc. RNDr. Milan Urban, Ph.D. Zkouška bude vyžadovat především znalosti získané v předmětu OCH/ZPBC a OCH/KBCH. Jednotlivé okruhy pro tento předmět:</w:t>
      </w:r>
    </w:p>
    <w:p w14:paraId="4E26B531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3E01F749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Aminokyseliny. Přehled, vlastnosti, příprava - asymetrická syntéza -aminokyselin, asymetrická syntéza s chirálním organometalickým katalyzátorem, syntéza oligopeptidů a jejich význam v medicíně. Biosyntéza aminokyselin.</w:t>
      </w:r>
    </w:p>
    <w:p w14:paraId="6C78873B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Peptidy polypeptidy a proteiny. Historie studia peptidů. Struktura a fyzikální vlastnosti peptidů. Klasifikace peptidů. Chemická syntéza peptidů. Chránění aminoskupiny a karboxylové skupiny. Biosyntéza proteinů.</w:t>
      </w:r>
    </w:p>
    <w:p w14:paraId="66E8C8DC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Enzymy. Mechanizmy enzymatických reakcí, kofaktory a regulace enzymatických reakcí, termodynamika a kinetika enzymatických reakcí, inhibice. Vliv různých faktorů na enzymatické reakce.</w:t>
      </w:r>
    </w:p>
    <w:p w14:paraId="0B6E8574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Sacharidy. Struktura a funkce sacharidů a polysacharidů. Metabolizmus. Reakce sacharidů - reakce karbonylové skupiny, reakce anomerní hydroxylové skupiny, reakce hydroxylových skupin. Syntéza glykosidů a oligosacharidů.</w:t>
      </w:r>
    </w:p>
    <w:p w14:paraId="2A026B57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Lipidy. Přehled lipidů. Mastné kyseliny. Složené lipidy. Biomembrány. Regulační procesy na membránách. Biosyntéza a metabolizmus lipidů. Mitochondrie.</w:t>
      </w:r>
    </w:p>
    <w:p w14:paraId="39DCA4EC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lastRenderedPageBreak/>
        <w:t>Nukleové kyseliny. Chemie nukleosidů, nukleotidů a oligonukleotidů: chemické syntézy nukleosidů, modifikace nukleobází, cukerné složky, syntéza nukleotidů, oligonukleotidů, katabolismus nukleotidů. Terapeutické aplikace nukleosidových analog. Struktura a funkce nukleových kyselin: struktura DNA a RNA, párování nukleobází, interakce malých molekul - reakce s nukleofily, elektrofily, anti-cancer drugs, DNA repair, interkalace.</w:t>
      </w:r>
    </w:p>
    <w:p w14:paraId="60AFD40A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Biosyntéza a metabolismus nukleových kyselin a jejich složek: replikace, transkripce, enzymy biosyntézy složek nukleových kyselin, inhibitory biosyntézy prekurzorů bází a anabolismu nukleosidů, enzymy katabolismu nukleových kyselin.</w:t>
      </w:r>
    </w:p>
    <w:p w14:paraId="54666976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Bioorganická chemie ostatních tříd přírodních látek. Eikosanoidy – prostaglandiny, thromboxany, leukotrieny. Terpeny a steroidy. Steroidy jako signální molekuly.</w:t>
      </w:r>
    </w:p>
    <w:p w14:paraId="77E8A7EF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Principy stavby virů, jejich taxonomie, klasifikace virů. Životní cyklus virů, rozmnožování jednotlivých typů virů, jednotlivé fáze životního cyklu virů, cesty infekce organizmu viry, některé pojmy související s viry. Viry a nádorová onemocnění. Vakcíny, typy vakcín. Viry způsobující závažná onemocnění a epidemie u lidí.</w:t>
      </w:r>
    </w:p>
    <w:p w14:paraId="337F7463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Inhibitory jednotlivých stupňů rozmnožování virů. Látky ovlivňující adsorpci virionu na buněčnou membránu. Látky interagující s povrchovou strukturou virionu. Inhibitory syntézy virových nukleových kyselin (ana</w:t>
      </w:r>
      <w:r w:rsidRPr="00D1244A">
        <w:rPr>
          <w:rFonts w:ascii="Arial" w:hAnsi="Arial" w:cs="Arial"/>
        </w:rPr>
        <w:lastRenderedPageBreak/>
        <w:t>loga substrátu, analoga produktu, inhibitory herpesvirové helikázy-primázy, inhibitory RNA-dependentní-RNA polymerázy, inhibitory DNA-dependentní RNA-polymerázy). Inhibitory HBV. Inhibitory HCV. Inhibitory serinové HCMV proteázy. Inhibitory cysteinové rhinovirové proteázy.</w:t>
      </w:r>
    </w:p>
    <w:p w14:paraId="3BA0B77B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Inhibitory viru HIV (inhibitory průniku do buňky, nukleosidové inhibitory reverzní transkriptázy (NRTIs), nukleotidové inhibitory reverzní transkriptázy (NtRTIs), nenukleosidové inhibitory reverzní transkriptázy (NNRTIs), inhibitory HIV integrázy a transkripce virové RNA, inhibitory HIV proteázy. Současná antiretrovirová terapie pacientů s HIV infekcí.</w:t>
      </w:r>
    </w:p>
    <w:p w14:paraId="1FABC865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Acyklické nukleosidy a nukleotidy acyklické nukleosidy, acyklické nukleosidfosfonáty, nové cyklické fosfonáty.</w:t>
      </w:r>
    </w:p>
    <w:p w14:paraId="1C3394F3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Protinádorová a antileukemická chemoterapie Alkylační léčiva. Mechanizmus účinku DNA alkylačních cytostatik. Skupiny alkylačních léčiv. Pt-komplexy. Cytostatika založená na selektivním účinku v hypoxických buňkách.</w:t>
      </w:r>
    </w:p>
    <w:p w14:paraId="01E5E1FB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Inhibitory topoisomeras, specifické inhibitory topoizomerázy I, inhibitory topoisomerasy II. Inhibitory angiogeneze. Inhibitory thymidin fosforylázy. Látky s radiomimetickým účinkem. Telomeráza a její inhibitory.</w:t>
      </w:r>
    </w:p>
    <w:p w14:paraId="6B1B1A65" w14:textId="77777777" w:rsidR="00D1244A" w:rsidRPr="00D1244A" w:rsidRDefault="00D1244A" w:rsidP="00467F93">
      <w:pPr>
        <w:pStyle w:val="Odstavecseseznamem"/>
        <w:numPr>
          <w:ilvl w:val="0"/>
          <w:numId w:val="19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Antimitotické látky interagující s tubulinem. Inhibitory proteinkináz. Inhibitory prenylace proteinů. Inhibice nežádoucích účinků androgenů a estrogenů.</w:t>
      </w:r>
    </w:p>
    <w:p w14:paraId="09D08816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</w:rPr>
      </w:pPr>
    </w:p>
    <w:p w14:paraId="2001740F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</w:rPr>
      </w:pPr>
    </w:p>
    <w:p w14:paraId="073FB9F6" w14:textId="77777777" w:rsid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72CE2289" w14:textId="3C14DBC4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b/>
          <w:bCs/>
          <w:color w:val="7030A0"/>
        </w:rPr>
      </w:pPr>
      <w:r w:rsidRPr="00D1244A">
        <w:rPr>
          <w:rFonts w:ascii="Arial" w:hAnsi="Arial" w:cs="Arial"/>
          <w:b/>
          <w:bCs/>
          <w:color w:val="7030A0"/>
        </w:rPr>
        <w:lastRenderedPageBreak/>
        <w:t>OCH/SZZC6 –</w:t>
      </w:r>
      <w:r w:rsidRPr="00D1244A">
        <w:rPr>
          <w:rFonts w:ascii="Arial" w:hAnsi="Arial" w:cs="Arial"/>
          <w:color w:val="7030A0"/>
        </w:rPr>
        <w:t xml:space="preserve"> </w:t>
      </w:r>
      <w:r w:rsidRPr="00D1244A">
        <w:rPr>
          <w:rFonts w:ascii="Arial" w:hAnsi="Arial" w:cs="Arial"/>
          <w:b/>
          <w:color w:val="7030A0"/>
        </w:rPr>
        <w:t>Aplikovaná analytická chemie</w:t>
      </w:r>
    </w:p>
    <w:p w14:paraId="690FDFB9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  <w:r w:rsidRPr="00D1244A">
        <w:rPr>
          <w:rFonts w:ascii="Arial" w:hAnsi="Arial" w:cs="Arial"/>
          <w:i/>
        </w:rPr>
        <w:t>Garantem je prof. RNDr. Karel Lemr, Ph.D. Zkouška bude vyžadovat především znalosti získané v předmětu ACH/APHS a ACH/APLC. Jednotlivé okruhy pro tento předmět:</w:t>
      </w:r>
    </w:p>
    <w:p w14:paraId="2106A316" w14:textId="77777777" w:rsidR="00D1244A" w:rsidRPr="00D1244A" w:rsidRDefault="00D1244A" w:rsidP="00467F93">
      <w:pPr>
        <w:spacing w:after="0" w:line="312" w:lineRule="auto"/>
        <w:contextualSpacing/>
        <w:rPr>
          <w:rFonts w:ascii="Arial" w:hAnsi="Arial" w:cs="Arial"/>
          <w:i/>
        </w:rPr>
      </w:pPr>
    </w:p>
    <w:p w14:paraId="16AB4588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Instrumentace v kapalinové chromatografii, chromatografické módy.</w:t>
      </w:r>
    </w:p>
    <w:p w14:paraId="43973145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Řešení problémů v kapalinové chromatografii („troubleshooting“, optimalizace separace).</w:t>
      </w:r>
    </w:p>
    <w:p w14:paraId="1A4A0D1E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Moderní detekce v kapalinové chromatografii, typy používaných detektorů.</w:t>
      </w:r>
    </w:p>
    <w:p w14:paraId="25E604B4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Příprava vzorku pro analýzu kapalinovou chromatografií.</w:t>
      </w:r>
    </w:p>
    <w:p w14:paraId="044F27D7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Kapilární elektroforéza a elektrochromatografie, porovnání s kapalinovou chromatografií.</w:t>
      </w:r>
    </w:p>
    <w:p w14:paraId="6BB80A4A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Kapalinová chromatografie ve farmaceutické a klinické praxi.</w:t>
      </w:r>
    </w:p>
    <w:p w14:paraId="0E6FB903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Kapalinová chromatografie v kontrole potravin a životního prostředí.</w:t>
      </w:r>
    </w:p>
    <w:p w14:paraId="6F1972F1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Chromatografická analýza (bio)polymerů.</w:t>
      </w:r>
    </w:p>
    <w:p w14:paraId="3E5B7300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Chromatografická separace izomerů a enantiomerů.</w:t>
      </w:r>
    </w:p>
    <w:p w14:paraId="55578CC2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Měření a zpracování chromatografických dat.</w:t>
      </w:r>
    </w:p>
    <w:p w14:paraId="1ABFCC70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Miniaturizace v kapalinové chromatografii, využití kapilárních technik.</w:t>
      </w:r>
    </w:p>
    <w:p w14:paraId="4B12B5FC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Preparativní kapalinová chromatografie.</w:t>
      </w:r>
    </w:p>
    <w:p w14:paraId="27DC6176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Princip ionizačních technik využívaných pro ionizaci organických sloučenin.</w:t>
      </w:r>
    </w:p>
    <w:p w14:paraId="4C93A855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lastRenderedPageBreak/>
        <w:t>Spojení plynové a kapalinové chromatografie s hmotnostní spektrometrií.</w:t>
      </w:r>
    </w:p>
    <w:p w14:paraId="57ADB51F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Matriční efekty ovlivňující ionizaci látek.</w:t>
      </w:r>
    </w:p>
    <w:p w14:paraId="3E0A43D9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Principy hmotnostních analyzátorů.</w:t>
      </w:r>
    </w:p>
    <w:p w14:paraId="2AD9B0A7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Interpretace hmotnostních spekter organických sloučenin (určení sumárního vzorce, strukturní analýza).</w:t>
      </w:r>
    </w:p>
    <w:p w14:paraId="7C5AC1D1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Ambientní ionizační techniky a analýza povrchů.</w:t>
      </w:r>
    </w:p>
    <w:p w14:paraId="40CA763F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Hmotnostně spektrometrické zobrazování.</w:t>
      </w:r>
    </w:p>
    <w:p w14:paraId="32272A86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Spojení iontové mobility s hmotnostní spektrometrií.</w:t>
      </w:r>
    </w:p>
    <w:p w14:paraId="23973624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Aplikace hmotnostní spektrometrie při identifikaci metabolitů, ve farmaceutické a toxikologické analýze.</w:t>
      </w:r>
    </w:p>
    <w:p w14:paraId="7B04C649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Analýza biomakromolekul.</w:t>
      </w:r>
    </w:p>
    <w:p w14:paraId="0137DC1A" w14:textId="77777777" w:rsidR="00D1244A" w:rsidRPr="00D1244A" w:rsidRDefault="00D1244A" w:rsidP="00467F93">
      <w:pPr>
        <w:pStyle w:val="Odstavecseseznamem"/>
        <w:numPr>
          <w:ilvl w:val="0"/>
          <w:numId w:val="18"/>
        </w:numPr>
        <w:spacing w:after="0" w:line="312" w:lineRule="auto"/>
        <w:rPr>
          <w:rFonts w:ascii="Arial" w:hAnsi="Arial" w:cs="Arial"/>
        </w:rPr>
      </w:pPr>
      <w:r w:rsidRPr="00D1244A">
        <w:rPr>
          <w:rFonts w:ascii="Arial" w:hAnsi="Arial" w:cs="Arial"/>
        </w:rPr>
        <w:t>Hmotnostní spektrometrie v prvkové analýze.</w:t>
      </w:r>
    </w:p>
    <w:p w14:paraId="78533C27" w14:textId="77777777" w:rsidR="00C13D07" w:rsidRPr="00D1244A" w:rsidRDefault="00C13D07" w:rsidP="00467F93">
      <w:pPr>
        <w:spacing w:after="0" w:line="312" w:lineRule="auto"/>
        <w:contextualSpacing/>
        <w:rPr>
          <w:rFonts w:ascii="Arial" w:hAnsi="Arial" w:cs="Arial"/>
          <w:color w:val="00B050"/>
        </w:rPr>
      </w:pPr>
    </w:p>
    <w:sectPr w:rsidR="00C13D07" w:rsidRPr="00D1244A" w:rsidSect="00E55EAD">
      <w:headerReference w:type="default" r:id="rId11"/>
      <w:footerReference w:type="default" r:id="rId12"/>
      <w:pgSz w:w="11906" w:h="16838"/>
      <w:pgMar w:top="2669" w:right="849" w:bottom="709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88D4" w14:textId="77777777" w:rsidR="00322ED5" w:rsidRDefault="00322ED5" w:rsidP="00E40A2B">
      <w:pPr>
        <w:spacing w:after="0" w:line="240" w:lineRule="auto"/>
      </w:pPr>
      <w:r>
        <w:separator/>
      </w:r>
    </w:p>
  </w:endnote>
  <w:endnote w:type="continuationSeparator" w:id="0">
    <w:p w14:paraId="26441EFF" w14:textId="77777777" w:rsidR="00322ED5" w:rsidRDefault="00322ED5" w:rsidP="00E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7F32" w14:textId="77777777" w:rsidR="00E40A2B" w:rsidRDefault="00E40A2B" w:rsidP="00E40A2B">
    <w:pPr>
      <w:pStyle w:val="Zpat"/>
      <w:spacing w:line="240" w:lineRule="exact"/>
      <w:rPr>
        <w:rFonts w:ascii="Arial" w:hAnsi="Arial" w:cs="Arial"/>
      </w:rPr>
    </w:pPr>
  </w:p>
  <w:p w14:paraId="1EF0A9C3" w14:textId="74EACCB1" w:rsidR="00E40A2B" w:rsidRDefault="005E2BEB" w:rsidP="00E40A2B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0FCB0" wp14:editId="463B885A">
              <wp:simplePos x="0" y="0"/>
              <wp:positionH relativeFrom="column">
                <wp:posOffset>-360045</wp:posOffset>
              </wp:positionH>
              <wp:positionV relativeFrom="paragraph">
                <wp:posOffset>28575</wp:posOffset>
              </wp:positionV>
              <wp:extent cx="6559550" cy="0"/>
              <wp:effectExtent l="11430" t="9525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424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35pt;margin-top:2.2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" strokecolor="gray [1629]" strokeweight="1pt"/>
          </w:pict>
        </mc:Fallback>
      </mc:AlternateContent>
    </w:r>
  </w:p>
  <w:p w14:paraId="11AD566A" w14:textId="77777777" w:rsidR="00074720" w:rsidRPr="00074720" w:rsidRDefault="00E40A2B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Katedra organické chemie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Department of Organic Chemistry</w:t>
    </w:r>
  </w:p>
  <w:p w14:paraId="41D8D94E" w14:textId="77777777" w:rsidR="00E40A2B" w:rsidRPr="00074720" w:rsidRDefault="00E40A2B" w:rsidP="00E55EAD">
    <w:pPr>
      <w:pStyle w:val="Zpat"/>
      <w:tabs>
        <w:tab w:val="left" w:pos="4536"/>
      </w:tabs>
      <w:spacing w:line="240" w:lineRule="exact"/>
      <w:ind w:right="284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Přírodovědecká fakulta Univerzity Palackého v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Olomouci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Faculty of Science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>Palacký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University Olomouc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Czech Republic</w:t>
    </w:r>
  </w:p>
  <w:p w14:paraId="3715530A" w14:textId="77777777" w:rsidR="00B020FE" w:rsidRPr="00074720" w:rsidRDefault="00E40A2B" w:rsidP="00E55EAD">
    <w:pPr>
      <w:pStyle w:val="Zpat"/>
      <w:tabs>
        <w:tab w:val="clear" w:pos="9072"/>
        <w:tab w:val="left" w:pos="4536"/>
        <w:tab w:val="right" w:pos="9214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listopadu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1192/12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771 46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| T: 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listopadu 1192/12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CZ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771 46  Olomouc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| T: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+420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</w:p>
  <w:p w14:paraId="481F67F8" w14:textId="77777777" w:rsidR="00B020FE" w:rsidRPr="00074720" w:rsidRDefault="005E2BEB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hyperlink r:id="rId1" w:history="1">
      <w:r w:rsidR="00B020FE" w:rsidRPr="005C2EB8">
        <w:rPr>
          <w:rFonts w:ascii="Arial" w:hAnsi="Arial" w:cs="Arial"/>
          <w:color w:val="A6A6A6" w:themeColor="background1" w:themeShade="A6"/>
          <w:sz w:val="16"/>
          <w:szCs w:val="16"/>
        </w:rPr>
        <w:t>orgchem@orgchem.upol.cz</w:t>
      </w:r>
    </w:hyperlink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orgchem@orgchem.upol.cz</w:t>
    </w:r>
  </w:p>
  <w:p w14:paraId="77E47DEA" w14:textId="77777777" w:rsidR="00B020FE" w:rsidRPr="00074720" w:rsidRDefault="005E2BEB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  <w:hyperlink r:id="rId2" w:history="1">
      <w:r w:rsidR="00B020FE" w:rsidRPr="005C2EB8">
        <w:rPr>
          <w:rFonts w:ascii="Arial" w:hAnsi="Arial" w:cs="Arial"/>
          <w:b/>
          <w:color w:val="A6A6A6" w:themeColor="background1" w:themeShade="A6"/>
          <w:sz w:val="16"/>
          <w:szCs w:val="16"/>
        </w:rPr>
        <w:t>w</w:t>
      </w:r>
      <w:r w:rsidR="00B020FE" w:rsidRPr="00B020FE">
        <w:rPr>
          <w:rFonts w:ascii="Arial" w:hAnsi="Arial" w:cs="Arial"/>
          <w:b/>
          <w:color w:val="A6A6A6" w:themeColor="background1" w:themeShade="A6"/>
          <w:sz w:val="16"/>
          <w:szCs w:val="16"/>
        </w:rPr>
        <w:t>ww.orgchem.upol.cz</w:t>
      </w:r>
    </w:hyperlink>
    <w:r w:rsidR="00B020FE">
      <w:rPr>
        <w:rFonts w:ascii="Arial" w:hAnsi="Arial" w:cs="Arial"/>
        <w:b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b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b/>
        <w:color w:val="A6A6A6" w:themeColor="background1" w:themeShade="A6"/>
        <w:sz w:val="16"/>
        <w:szCs w:val="16"/>
      </w:rPr>
      <w:t>www.orgchem.upol.cz</w:t>
    </w:r>
  </w:p>
  <w:p w14:paraId="13BF7EA2" w14:textId="77777777" w:rsidR="00B020FE" w:rsidRPr="00074720" w:rsidRDefault="00B020FE" w:rsidP="00B020FE">
    <w:pPr>
      <w:pStyle w:val="Zpat"/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3469D3CF" w14:textId="77777777" w:rsidR="000359B4" w:rsidRPr="00074720" w:rsidRDefault="000359B4" w:rsidP="00B020FE">
    <w:pPr>
      <w:pStyle w:val="Zpat"/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</w:p>
  <w:p w14:paraId="5AEF8690" w14:textId="77777777" w:rsidR="00E40A2B" w:rsidRDefault="00E40A2B">
    <w:pPr>
      <w:pStyle w:val="Zpat"/>
    </w:pPr>
  </w:p>
  <w:p w14:paraId="320A1E67" w14:textId="77777777" w:rsidR="00E40A2B" w:rsidRDefault="00E40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AE03" w14:textId="77777777" w:rsidR="00322ED5" w:rsidRDefault="00322ED5" w:rsidP="00E40A2B">
      <w:pPr>
        <w:spacing w:after="0" w:line="240" w:lineRule="auto"/>
      </w:pPr>
      <w:r>
        <w:separator/>
      </w:r>
    </w:p>
  </w:footnote>
  <w:footnote w:type="continuationSeparator" w:id="0">
    <w:p w14:paraId="54E79709" w14:textId="77777777" w:rsidR="00322ED5" w:rsidRDefault="00322ED5" w:rsidP="00E4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ED5" w14:textId="77777777" w:rsidR="00E40A2B" w:rsidRDefault="00E40A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74A672" wp14:editId="1322389C">
          <wp:simplePos x="0" y="0"/>
          <wp:positionH relativeFrom="column">
            <wp:posOffset>-51689</wp:posOffset>
          </wp:positionH>
          <wp:positionV relativeFrom="paragraph">
            <wp:posOffset>-22860</wp:posOffset>
          </wp:positionV>
          <wp:extent cx="1968246" cy="719328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r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24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0978C" w14:textId="2DCB1540" w:rsidR="00E40A2B" w:rsidRDefault="005E2BEB" w:rsidP="00E40A2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2804E" wp14:editId="474B460C">
              <wp:simplePos x="0" y="0"/>
              <wp:positionH relativeFrom="column">
                <wp:posOffset>-387985</wp:posOffset>
              </wp:positionH>
              <wp:positionV relativeFrom="paragraph">
                <wp:posOffset>805815</wp:posOffset>
              </wp:positionV>
              <wp:extent cx="6559550" cy="0"/>
              <wp:effectExtent l="12065" t="15240" r="1016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0A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55pt;margin-top:63.45pt;width:5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" strokecolor="gray [16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9AA"/>
    <w:multiLevelType w:val="hybridMultilevel"/>
    <w:tmpl w:val="979E0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420CA"/>
    <w:multiLevelType w:val="hybridMultilevel"/>
    <w:tmpl w:val="6A860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3DF1"/>
    <w:multiLevelType w:val="multilevel"/>
    <w:tmpl w:val="F3EA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466ADC"/>
    <w:multiLevelType w:val="hybridMultilevel"/>
    <w:tmpl w:val="A6A69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138A1"/>
    <w:multiLevelType w:val="hybridMultilevel"/>
    <w:tmpl w:val="8DCC652A"/>
    <w:lvl w:ilvl="0" w:tplc="76424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4D4"/>
    <w:multiLevelType w:val="hybridMultilevel"/>
    <w:tmpl w:val="65B417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33E46"/>
    <w:multiLevelType w:val="hybridMultilevel"/>
    <w:tmpl w:val="D8E2F09C"/>
    <w:lvl w:ilvl="0" w:tplc="275C39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21092"/>
    <w:multiLevelType w:val="multilevel"/>
    <w:tmpl w:val="DF2C2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3DC65EA"/>
    <w:multiLevelType w:val="hybridMultilevel"/>
    <w:tmpl w:val="6DF02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8D0"/>
    <w:multiLevelType w:val="multilevel"/>
    <w:tmpl w:val="46E2C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140A90"/>
    <w:multiLevelType w:val="hybridMultilevel"/>
    <w:tmpl w:val="4EE07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D68C1"/>
    <w:multiLevelType w:val="hybridMultilevel"/>
    <w:tmpl w:val="D27EB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E6F02"/>
    <w:multiLevelType w:val="hybridMultilevel"/>
    <w:tmpl w:val="D99828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B0F77"/>
    <w:multiLevelType w:val="hybridMultilevel"/>
    <w:tmpl w:val="F2369258"/>
    <w:lvl w:ilvl="0" w:tplc="7CA2C36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761B67"/>
    <w:multiLevelType w:val="hybridMultilevel"/>
    <w:tmpl w:val="D9CE6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A6DD8"/>
    <w:multiLevelType w:val="hybridMultilevel"/>
    <w:tmpl w:val="7C4CFB90"/>
    <w:lvl w:ilvl="0" w:tplc="040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4223315"/>
    <w:multiLevelType w:val="hybridMultilevel"/>
    <w:tmpl w:val="D6F4FB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D5ECE"/>
    <w:multiLevelType w:val="hybridMultilevel"/>
    <w:tmpl w:val="DBFC0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7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2B"/>
    <w:rsid w:val="00015E8A"/>
    <w:rsid w:val="000359B4"/>
    <w:rsid w:val="00074720"/>
    <w:rsid w:val="00097103"/>
    <w:rsid w:val="000B119D"/>
    <w:rsid w:val="000E7388"/>
    <w:rsid w:val="000F2FBD"/>
    <w:rsid w:val="00274ADC"/>
    <w:rsid w:val="002A7A9D"/>
    <w:rsid w:val="002B6E8B"/>
    <w:rsid w:val="002D22CD"/>
    <w:rsid w:val="002D48A0"/>
    <w:rsid w:val="00322ED5"/>
    <w:rsid w:val="003C3981"/>
    <w:rsid w:val="004272AA"/>
    <w:rsid w:val="00467F93"/>
    <w:rsid w:val="004C07EC"/>
    <w:rsid w:val="004E7E03"/>
    <w:rsid w:val="00582C6D"/>
    <w:rsid w:val="005C2EB8"/>
    <w:rsid w:val="005D0CC6"/>
    <w:rsid w:val="005E2BEB"/>
    <w:rsid w:val="006121C8"/>
    <w:rsid w:val="006D5E06"/>
    <w:rsid w:val="007C4C3A"/>
    <w:rsid w:val="00811F8B"/>
    <w:rsid w:val="008502BC"/>
    <w:rsid w:val="0092770F"/>
    <w:rsid w:val="00A00BF6"/>
    <w:rsid w:val="00A36813"/>
    <w:rsid w:val="00A9578F"/>
    <w:rsid w:val="00AA641E"/>
    <w:rsid w:val="00AB5821"/>
    <w:rsid w:val="00AC4FDE"/>
    <w:rsid w:val="00AF392B"/>
    <w:rsid w:val="00B020FE"/>
    <w:rsid w:val="00B534BB"/>
    <w:rsid w:val="00B850B8"/>
    <w:rsid w:val="00BD71F3"/>
    <w:rsid w:val="00C13D07"/>
    <w:rsid w:val="00C72DC5"/>
    <w:rsid w:val="00D1244A"/>
    <w:rsid w:val="00DA65B9"/>
    <w:rsid w:val="00E40A2B"/>
    <w:rsid w:val="00E55EAD"/>
    <w:rsid w:val="00EA289E"/>
    <w:rsid w:val="00F20EA1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4EE3"/>
  <w15:docId w15:val="{E3B653B1-DEF1-4F48-9531-3FFE335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2B"/>
  </w:style>
  <w:style w:type="paragraph" w:styleId="Zpat">
    <w:name w:val="footer"/>
    <w:basedOn w:val="Normln"/>
    <w:link w:val="Zpat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2B"/>
  </w:style>
  <w:style w:type="paragraph" w:styleId="Textbubliny">
    <w:name w:val="Balloon Text"/>
    <w:basedOn w:val="Normln"/>
    <w:link w:val="TextbublinyChar"/>
    <w:uiPriority w:val="99"/>
    <w:semiHidden/>
    <w:unhideWhenUsed/>
    <w:rsid w:val="00E4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A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0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gchem.upol.cz" TargetMode="External"/><Relationship Id="rId1" Type="http://schemas.openxmlformats.org/officeDocument/2006/relationships/hyperlink" Target="mailto:orgchem@orgchem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008F277348249A99881099C5DDAE4" ma:contentTypeVersion="14" ma:contentTypeDescription="Vytvoří nový dokument" ma:contentTypeScope="" ma:versionID="c3e0c562762d358b84a7ca636e8c44c4">
  <xsd:schema xmlns:xsd="http://www.w3.org/2001/XMLSchema" xmlns:xs="http://www.w3.org/2001/XMLSchema" xmlns:p="http://schemas.microsoft.com/office/2006/metadata/properties" xmlns:ns3="f54a71d7-1664-43fc-91d7-887d210190de" xmlns:ns4="348eebaa-8888-4c2a-bd87-2481061fc135" targetNamespace="http://schemas.microsoft.com/office/2006/metadata/properties" ma:root="true" ma:fieldsID="335b43283f198fc378b177094ca57681" ns3:_="" ns4:_="">
    <xsd:import namespace="f54a71d7-1664-43fc-91d7-887d210190de"/>
    <xsd:import namespace="348eebaa-8888-4c2a-bd87-2481061fc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1d7-1664-43fc-91d7-887d21019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ebaa-8888-4c2a-bd87-2481061fc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CE29-E247-42DF-B0D6-CA1FE915F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1d7-1664-43fc-91d7-887d210190de"/>
    <ds:schemaRef ds:uri="348eebaa-8888-4c2a-bd87-2481061f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CB656-C658-407D-A377-1BB1DA330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F57E-E732-47D0-9F5B-1EC90366A3C7}">
  <ds:schemaRefs>
    <ds:schemaRef ds:uri="f54a71d7-1664-43fc-91d7-887d210190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8eebaa-8888-4c2a-bd87-2481061fc1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BFEBB5-82E8-4457-B009-722A649A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1958</Words>
  <Characters>12102</Characters>
  <Application>Microsoft Office Word</Application>
  <DocSecurity>4</DocSecurity>
  <Lines>636</Lines>
  <Paragraphs>540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Envelopa</dc:creator>
  <cp:lastModifiedBy>Mgr. Barbora Lemrová, Ph.D.</cp:lastModifiedBy>
  <cp:revision>2</cp:revision>
  <cp:lastPrinted>2015-09-08T08:43:00Z</cp:lastPrinted>
  <dcterms:created xsi:type="dcterms:W3CDTF">2023-01-19T08:15:00Z</dcterms:created>
  <dcterms:modified xsi:type="dcterms:W3CDTF">2023-01-19T08:15:00Z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64d8139cc3f3295cb8766d2dbd386ba69f5ec151f869341ac93c7c8051fca410</vt:lpwstr>
  </property>
  <property fmtid="{D5CDD505-2E9C-101B-9397-08002B2CF9AE}" pid="3" name="ContentTypeId">
    <vt:lpwstr>0x010100065008F277348249A99881099C5DDAE4</vt:lpwstr>
  </property>
</Properties>
</file>